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E" w:rsidRPr="00947B96" w:rsidRDefault="00AE199E" w:rsidP="00AE199E">
      <w:pPr>
        <w:widowControl/>
        <w:rPr>
          <w:rFonts w:ascii="Rockwell" w:eastAsia="標楷體" w:hAnsi="Rockwell"/>
          <w:kern w:val="0"/>
          <w:sz w:val="20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壹、</w:t>
      </w:r>
      <w:r w:rsidRPr="00947B96">
        <w:rPr>
          <w:rFonts w:ascii="Rockwell" w:eastAsia="標楷體" w:hAnsi="Rockwell"/>
          <w:b/>
          <w:kern w:val="0"/>
          <w:sz w:val="28"/>
          <w:szCs w:val="20"/>
        </w:rPr>
        <w:t>學校課程發展與規劃</w:t>
      </w:r>
    </w:p>
    <w:p w:rsidR="00AE199E" w:rsidRPr="00226EE0" w:rsidRDefault="00AE199E" w:rsidP="00AE199E">
      <w:pPr>
        <w:widowControl/>
        <w:spacing w:after="120" w:line="264" w:lineRule="auto"/>
        <w:rPr>
          <w:rFonts w:ascii="新細明體" w:eastAsia="標楷體" w:hAnsi="新細明體" w:cs="標楷體"/>
          <w:b/>
          <w:color w:val="FF0000"/>
          <w:kern w:val="0"/>
          <w:sz w:val="32"/>
          <w:szCs w:val="32"/>
        </w:rPr>
      </w:pPr>
      <w:r w:rsidRPr="00947B96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五、</w:t>
      </w:r>
      <w:bookmarkStart w:id="0" w:name="_GoBack"/>
      <w:r w:rsidRPr="00947B96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會考後</w:t>
      </w:r>
      <w:bookmarkEnd w:id="0"/>
      <w:r w:rsidRPr="00947B96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AE199E" w:rsidRPr="0091308C" w:rsidTr="000B5A0B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proofErr w:type="gramStart"/>
            <w:r w:rsidRPr="0091308C">
              <w:rPr>
                <w:rFonts w:ascii="新細明體" w:eastAsia="標楷體" w:hAnsi="新細明體" w:hint="eastAsia"/>
                <w:kern w:val="0"/>
              </w:rPr>
              <w:t>週</w:t>
            </w:r>
            <w:proofErr w:type="gramEnd"/>
            <w:r w:rsidRPr="0091308C">
              <w:rPr>
                <w:rFonts w:ascii="新細明體" w:eastAsia="標楷體" w:hAnsi="新細明體" w:hint="eastAsia"/>
                <w:kern w:val="0"/>
              </w:rPr>
              <w:t>次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期</w:t>
            </w:r>
            <w:r w:rsidRPr="0091308C">
              <w:rPr>
                <w:rFonts w:ascii="新細明體" w:eastAsia="標楷體" w:hAnsi="新細明體"/>
                <w:kern w:val="0"/>
              </w:rPr>
              <w:t>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國文科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英語</w:t>
            </w:r>
            <w:r>
              <w:rPr>
                <w:rFonts w:ascii="新細明體" w:eastAsia="標楷體" w:hAnsi="新細明體" w:hint="eastAsia"/>
                <w:kern w:val="0"/>
              </w:rPr>
              <w:t>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數學領域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自然</w:t>
            </w:r>
            <w:r>
              <w:rPr>
                <w:rFonts w:ascii="新細明體" w:eastAsia="標楷體" w:hAnsi="新細明體" w:hint="eastAsia"/>
                <w:kern w:val="0"/>
              </w:rPr>
              <w:t>與生活科技</w:t>
            </w: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社會領域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藝</w:t>
            </w:r>
            <w:r w:rsidRPr="001946F9">
              <w:rPr>
                <w:rFonts w:ascii="新細明體" w:eastAsia="標楷體" w:hAnsi="新細明體" w:hint="eastAsia"/>
                <w:kern w:val="0"/>
              </w:rPr>
              <w:t>術與人文</w:t>
            </w: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綜合</w:t>
            </w:r>
            <w:r>
              <w:rPr>
                <w:rFonts w:ascii="新細明體" w:eastAsia="標楷體" w:hAnsi="新細明體" w:hint="eastAsia"/>
                <w:kern w:val="0"/>
              </w:rPr>
              <w:t>活動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健</w:t>
            </w:r>
            <w:r>
              <w:rPr>
                <w:rFonts w:ascii="新細明體" w:eastAsia="標楷體" w:hAnsi="新細明體" w:hint="eastAsia"/>
                <w:kern w:val="0"/>
              </w:rPr>
              <w:t>康與</w:t>
            </w:r>
            <w:r w:rsidRPr="0091308C">
              <w:rPr>
                <w:rFonts w:ascii="新細明體" w:eastAsia="標楷體" w:hAnsi="新細明體"/>
                <w:kern w:val="0"/>
              </w:rPr>
              <w:t>體</w:t>
            </w:r>
            <w:r>
              <w:rPr>
                <w:rFonts w:ascii="新細明體" w:eastAsia="標楷體" w:hAnsi="新細明體" w:hint="eastAsia"/>
                <w:kern w:val="0"/>
              </w:rPr>
              <w:t>育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</w:t>
            </w:r>
            <w:r w:rsidRPr="0091308C">
              <w:rPr>
                <w:rFonts w:ascii="新細明體" w:eastAsia="標楷體" w:hAnsi="新細明體"/>
                <w:kern w:val="0"/>
              </w:rPr>
              <w:t>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共同活動</w:t>
            </w:r>
          </w:p>
        </w:tc>
      </w:tr>
      <w:tr w:rsidR="00AE199E" w:rsidRPr="00947B96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574964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十五</w:t>
            </w:r>
          </w:p>
          <w:p w:rsidR="00AE199E" w:rsidRPr="00574964" w:rsidRDefault="00AE199E" w:rsidP="005749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5/</w:t>
            </w:r>
            <w:r w:rsidR="00574964"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17-5/23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會考試卷分析與檢討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(3)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會考寫作測驗分析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閱讀勵志英文短文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以分組方式閱讀並討論閱讀內容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分組報告分享勵志佳句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班分組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組進行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趣味數學主題分享活動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[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以活動動態方式進行分享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]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提供趣味數學活動範例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各小組運用網路搜尋相關主題資料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討論決定小組趣味數學研究分享主題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整理相關主題準備項目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有機農業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1.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認識有機農業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2.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認識常見蔬果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有機蔬菜種植方法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旅遊行程規劃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選定旅遊地點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認識當地理裡環境及氣候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蒐集旅遊相關問題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認識畢業歌曲目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畢典佈置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戲劇分組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高中職科系介紹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一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（統一高中博覽會）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童軍場地佈置及小隊表演前置作業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家政點心製作前置作業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班際排球規劃說明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(1)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畢業典禮籌備</w:t>
            </w:r>
          </w:p>
        </w:tc>
      </w:tr>
      <w:tr w:rsidR="00AE199E" w:rsidRPr="00947B96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</w:tbl>
    <w:p w:rsidR="00AE199E" w:rsidRPr="00947B96" w:rsidRDefault="00AE199E" w:rsidP="00AE199E">
      <w:pPr>
        <w:widowControl/>
        <w:adjustRightInd w:val="0"/>
        <w:snapToGrid w:val="0"/>
        <w:spacing w:line="240" w:lineRule="atLeast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說明：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1.</w:t>
      </w:r>
      <w:r w:rsidRPr="00947B96">
        <w:rPr>
          <w:rFonts w:ascii="新細明體" w:eastAsia="標楷體" w:hAnsi="新細明體" w:hint="eastAsia"/>
          <w:kern w:val="0"/>
        </w:rPr>
        <w:t>會考後課程一律遵守教學正常化原則，課程安排可包含銜接課程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學校應依學生個別差異，進行</w:t>
      </w:r>
      <w:proofErr w:type="gramStart"/>
      <w:r w:rsidRPr="00947B96">
        <w:rPr>
          <w:rFonts w:ascii="新細明體" w:eastAsia="標楷體" w:hAnsi="新細明體" w:hint="eastAsia"/>
          <w:kern w:val="0"/>
        </w:rPr>
        <w:t>加深加廣之多</w:t>
      </w:r>
      <w:proofErr w:type="gramEnd"/>
      <w:r w:rsidRPr="00947B96">
        <w:rPr>
          <w:rFonts w:ascii="新細明體" w:eastAsia="標楷體" w:hAnsi="新細明體" w:hint="eastAsia"/>
          <w:kern w:val="0"/>
        </w:rPr>
        <w:t>元性課程或補救教學課程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或跨領域課程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依主題或結合性別平等、人權、環境、海洋、生涯規劃、戶外教育等議題予以發展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或加強適性輔導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協助學生進行志願選填與相關輔導機制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2.</w:t>
      </w:r>
      <w:r w:rsidRPr="00947B96">
        <w:rPr>
          <w:rFonts w:ascii="新細明體" w:eastAsia="標楷體" w:hAnsi="新細明體" w:hint="eastAsia"/>
          <w:kern w:val="0"/>
        </w:rPr>
        <w:t>各領域應召開領域教學研究會討論會考後課程安排，課程設計可以</w:t>
      </w:r>
      <w:proofErr w:type="gramStart"/>
      <w:r w:rsidRPr="00947B96">
        <w:rPr>
          <w:rFonts w:ascii="新細明體" w:eastAsia="標楷體" w:hAnsi="新細明體" w:hint="eastAsia"/>
          <w:kern w:val="0"/>
        </w:rPr>
        <w:t>採</w:t>
      </w:r>
      <w:proofErr w:type="gramEnd"/>
      <w:r w:rsidRPr="00947B96">
        <w:rPr>
          <w:rFonts w:ascii="新細明體" w:eastAsia="標楷體" w:hAnsi="新細明體" w:hint="eastAsia"/>
          <w:kern w:val="0"/>
        </w:rPr>
        <w:t>主題設計，亦可以班群為群組規劃。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Rockwell" w:eastAsia="標楷體" w:hAnsi="Rockwell"/>
          <w:kern w:val="0"/>
          <w:sz w:val="28"/>
          <w:szCs w:val="28"/>
        </w:rPr>
      </w:pPr>
      <w:r w:rsidRPr="00947B96">
        <w:rPr>
          <w:rFonts w:ascii="新細明體" w:eastAsia="標楷體" w:hAnsi="新細明體" w:hint="eastAsia"/>
          <w:kern w:val="0"/>
        </w:rPr>
        <w:t>3.</w:t>
      </w:r>
      <w:r w:rsidRPr="00947B96">
        <w:rPr>
          <w:rFonts w:ascii="新細明體" w:eastAsia="標楷體" w:hAnsi="新細明體" w:hint="eastAsia"/>
          <w:kern w:val="0"/>
        </w:rPr>
        <w:t>各領域設計後課程應於開學</w:t>
      </w:r>
      <w:r w:rsidRPr="00947B96">
        <w:rPr>
          <w:rFonts w:ascii="新細明體" w:eastAsia="標楷體" w:hAnsi="新細明體" w:hint="eastAsia"/>
          <w:b/>
          <w:kern w:val="0"/>
        </w:rPr>
        <w:t>前</w:t>
      </w:r>
      <w:r w:rsidRPr="00947B96">
        <w:rPr>
          <w:rFonts w:ascii="新細明體" w:eastAsia="標楷體" w:hAnsi="新細明體" w:hint="eastAsia"/>
          <w:kern w:val="0"/>
        </w:rPr>
        <w:t>送交課程發展委員會議討論通過。</w:t>
      </w:r>
    </w:p>
    <w:p w:rsidR="00AE199E" w:rsidRPr="00AE199E" w:rsidRDefault="00AE199E" w:rsidP="00AE199E">
      <w:pPr>
        <w:widowControl/>
        <w:spacing w:after="120" w:line="264" w:lineRule="auto"/>
        <w:rPr>
          <w:rFonts w:ascii="標楷體" w:eastAsia="標楷體" w:hAnsi="標楷體"/>
          <w:b/>
          <w:color w:val="FF0000"/>
          <w:kern w:val="0"/>
          <w:sz w:val="28"/>
          <w:szCs w:val="20"/>
        </w:rPr>
      </w:pPr>
    </w:p>
    <w:sectPr w:rsidR="00AE199E" w:rsidRPr="00AE199E" w:rsidSect="00AE19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6B" w:rsidRDefault="0099596B" w:rsidP="00574964">
      <w:r>
        <w:separator/>
      </w:r>
    </w:p>
  </w:endnote>
  <w:endnote w:type="continuationSeparator" w:id="0">
    <w:p w:rsidR="0099596B" w:rsidRDefault="0099596B" w:rsidP="005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6B" w:rsidRDefault="0099596B" w:rsidP="00574964">
      <w:r>
        <w:separator/>
      </w:r>
    </w:p>
  </w:footnote>
  <w:footnote w:type="continuationSeparator" w:id="0">
    <w:p w:rsidR="0099596B" w:rsidRDefault="0099596B" w:rsidP="005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9E"/>
    <w:rsid w:val="000530EC"/>
    <w:rsid w:val="00110C4A"/>
    <w:rsid w:val="00226EE0"/>
    <w:rsid w:val="003F5B2E"/>
    <w:rsid w:val="004F1804"/>
    <w:rsid w:val="00574964"/>
    <w:rsid w:val="00874E1D"/>
    <w:rsid w:val="0099596B"/>
    <w:rsid w:val="00A65E7E"/>
    <w:rsid w:val="00AE199E"/>
    <w:rsid w:val="00BF0A18"/>
    <w:rsid w:val="00D80047"/>
    <w:rsid w:val="00E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2020-02-13T02:59:00Z</dcterms:created>
  <dcterms:modified xsi:type="dcterms:W3CDTF">2020-02-13T02:59:00Z</dcterms:modified>
</cp:coreProperties>
</file>